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F38020"/>
          <w:sz w:val="18"/>
          <w:szCs w:val="18"/>
        </w:rPr>
        <w:t xml:space="preserve">Zero Trust / IdP Access — Design Addendum</w:t>
      </w:r>
    </w:p>
    <w:p>
      <w:pPr>
        <w:pStyle w:val="Heading1"/>
        <w:spacing w:after="160"/>
      </w:pPr>
      <w:r>
        <w:rPr>
          <w:b/>
          <w:bCs/>
          <w:color w:val="1A2B4C"/>
        </w:rPr>
        <w:t xml:space="preserve">NIST SP 800-207 Alignment (Zero Trust Architecture)</w:t>
      </w:r>
    </w:p>
    <w:p>
      <w:pPr>
        <w:spacing w:after="200"/>
      </w:pPr>
      <w:r>
        <w:rPr>
          <w:sz w:val="20"/>
          <w:szCs w:val="20"/>
        </w:rPr>
        <w:t xml:space="preserve">This addendum maps the engagement's Zero Trust / IdP Access design and deliverables to NIST SP 800-207, "Zero Trust Architecture" (NIST, August 2020), the U.S. government's foundational reference standard for zero trust design. It is intended for insertion into Section 3.3.B (Solution Design) of the SOW, immediately following the Zero Trust / Cloudflare Access design bullet, and may also be referenced in customer-facing RFP or compliance responses.</w:t>
      </w:r>
    </w:p>
    <w:p>
      <w:pPr>
        <w:pStyle w:val="Heading2"/>
        <w:spacing w:after="100" w:before="120"/>
      </w:pPr>
      <w:r>
        <w:rPr>
          <w:b/>
          <w:bCs/>
          <w:color w:val="1A2B4C"/>
          <w:sz w:val="22"/>
          <w:szCs w:val="22"/>
        </w:rPr>
        <w:t xml:space="preserve">Standard Overview</w:t>
      </w:r>
    </w:p>
    <w:p>
      <w:pPr>
        <w:spacing w:after="120"/>
      </w:pPr>
      <w:r>
        <w:rPr>
          <w:sz w:val="20"/>
          <w:szCs w:val="20"/>
        </w:rPr>
        <w:t xml:space="preserve">NIST SP 800-207 defines zero trust as a set of concepts and ideas that eliminate implicit trust in network location, and instead require continuous verification of every user, device, and session before granting access to a resource. The standard specifies three logical components — a Policy Engine (PE), a Policy Administrator (PA), and one or more Policy Enforcement Points (PEPs) — and seven core tenets governing how access decisions are made. The table below maps the engagement's Cloudflare Access / Zero Trust deliverables to these components and tenets.</w:t>
      </w:r>
    </w:p>
    <w:tbl>
      <w:tblPr>
        <w:tblW w:type="dxa" w:w="9600"/>
        <w:tblBorders>
          <w:top w:val="single" w:color="CBD2D9" w:sz="4"/>
          <w:left w:val="single" w:color="CBD2D9" w:sz="4"/>
          <w:bottom w:val="single" w:color="CBD2D9" w:sz="4"/>
          <w:right w:val="single" w:color="CBD2D9" w:sz="4"/>
          <w:insideH w:val="single" w:color="CBD2D9" w:sz="4"/>
          <w:insideV w:val="single" w:color="CBD2D9" w:sz="4"/>
        </w:tblBorders>
      </w:tblPr>
      <w:tblGrid>
        <w:gridCol w:w="2400"/>
        <w:gridCol w:w="3300"/>
        <w:gridCol w:w="3900"/>
      </w:tblGrid>
      <w:tr>
        <w:trPr>
          <w:tblHeader/>
        </w:trPr>
        <w:tc>
          <w:tcPr>
            <w:tcW w:type="dxa" w:w="2400"/>
            <w:shd w:fill="1A2B4C" w:val="clear"/>
            <w:tcMar>
              <w:top w:type="dxa" w:w="100"/>
              <w:left w:type="dxa" w:w="120"/>
              <w:bottom w:type="dxa" w:w="100"/>
              <w:right w:type="dxa" w:w="120"/>
            </w:tcMar>
          </w:tcPr>
          <w:p>
            <w:r>
              <w:rPr>
                <w:b/>
                <w:bCs/>
                <w:color w:val="FFFFFF"/>
                <w:sz w:val="19"/>
                <w:szCs w:val="19"/>
              </w:rPr>
              <w:t xml:space="preserve">NIST SP 800-207 Component / Tenet</w:t>
            </w:r>
          </w:p>
        </w:tc>
        <w:tc>
          <w:tcPr>
            <w:tcW w:type="dxa" w:w="3300"/>
            <w:shd w:fill="1A2B4C" w:val="clear"/>
            <w:tcMar>
              <w:top w:type="dxa" w:w="100"/>
              <w:left w:type="dxa" w:w="120"/>
              <w:bottom w:type="dxa" w:w="100"/>
              <w:right w:type="dxa" w:w="120"/>
            </w:tcMar>
          </w:tcPr>
          <w:p>
            <w:r>
              <w:rPr>
                <w:b/>
                <w:bCs/>
                <w:color w:val="FFFFFF"/>
                <w:sz w:val="19"/>
                <w:szCs w:val="19"/>
              </w:rPr>
              <w:t xml:space="preserve">Cloudflare Zero Trust Equivalent</w:t>
            </w:r>
          </w:p>
        </w:tc>
        <w:tc>
          <w:tcPr>
            <w:tcW w:type="dxa" w:w="3900"/>
            <w:shd w:fill="1A2B4C" w:val="clear"/>
            <w:tcMar>
              <w:top w:type="dxa" w:w="100"/>
              <w:left w:type="dxa" w:w="120"/>
              <w:bottom w:type="dxa" w:w="100"/>
              <w:right w:type="dxa" w:w="120"/>
            </w:tcMar>
          </w:tcPr>
          <w:p>
            <w:r>
              <w:rPr>
                <w:b/>
                <w:bCs/>
                <w:color w:val="FFFFFF"/>
                <w:sz w:val="19"/>
                <w:szCs w:val="19"/>
              </w:rPr>
              <w:t xml:space="preserve">SOW / Playbook Reference</w:t>
            </w:r>
          </w:p>
        </w:tc>
      </w:tr>
      <w:tr>
        <w:tc>
          <w:tcPr>
            <w:tcW w:type="dxa" w:w="2400"/>
            <w:shd w:fill="FFFFFF" w:val="clear"/>
            <w:tcMar>
              <w:top w:type="dxa" w:w="100"/>
              <w:left w:type="dxa" w:w="120"/>
              <w:bottom w:type="dxa" w:w="100"/>
              <w:right w:type="dxa" w:w="120"/>
            </w:tcMar>
          </w:tcPr>
          <w:p>
            <w:r>
              <w:rPr>
                <w:b/>
                <w:bCs/>
                <w:sz w:val="18"/>
                <w:szCs w:val="18"/>
              </w:rPr>
              <w:t xml:space="preserve">Policy Enforcement Point (PEP)</w:t>
            </w:r>
          </w:p>
        </w:tc>
        <w:tc>
          <w:tcPr>
            <w:tcW w:type="dxa" w:w="3300"/>
            <w:shd w:fill="FFFFFF" w:val="clear"/>
            <w:tcMar>
              <w:top w:type="dxa" w:w="100"/>
              <w:left w:type="dxa" w:w="120"/>
              <w:bottom w:type="dxa" w:w="100"/>
              <w:right w:type="dxa" w:w="120"/>
            </w:tcMar>
          </w:tcPr>
          <w:p>
            <w:r>
              <w:rPr>
                <w:b w:val="false"/>
                <w:bCs w:val="false"/>
                <w:sz w:val="18"/>
                <w:szCs w:val="18"/>
              </w:rPr>
              <w:t xml:space="preserve">Cloudflare Access application policies gate every request to a protected app; enforcement happens at Cloudflare's edge, not at the origin.</w:t>
            </w:r>
          </w:p>
        </w:tc>
        <w:tc>
          <w:tcPr>
            <w:tcW w:type="dxa" w:w="3900"/>
            <w:shd w:fill="FFFFFF" w:val="clear"/>
            <w:tcMar>
              <w:top w:type="dxa" w:w="100"/>
              <w:left w:type="dxa" w:w="120"/>
              <w:bottom w:type="dxa" w:w="100"/>
              <w:right w:type="dxa" w:w="120"/>
            </w:tcMar>
          </w:tcPr>
          <w:p>
            <w:r>
              <w:rPr>
                <w:b w:val="false"/>
                <w:bCs w:val="false"/>
                <w:sz w:val="18"/>
                <w:szCs w:val="18"/>
              </w:rPr>
              <w:t xml:space="preserve">SOW §3.3.C – "Cloudflare Access / Zero Trust: SAML/OIDC IdP integration, device posture policies, application access policies"</w:t>
            </w:r>
          </w:p>
        </w:tc>
      </w:tr>
      <w:tr>
        <w:tc>
          <w:tcPr>
            <w:tcW w:type="dxa" w:w="2400"/>
            <w:shd w:fill="F2F4F7" w:val="clear"/>
            <w:tcMar>
              <w:top w:type="dxa" w:w="100"/>
              <w:left w:type="dxa" w:w="120"/>
              <w:bottom w:type="dxa" w:w="100"/>
              <w:right w:type="dxa" w:w="120"/>
            </w:tcMar>
          </w:tcPr>
          <w:p>
            <w:r>
              <w:rPr>
                <w:b/>
                <w:bCs/>
                <w:sz w:val="18"/>
                <w:szCs w:val="18"/>
              </w:rPr>
              <w:t xml:space="preserve">Policy Engine (PE) &amp; Policy Administrator (PA)</w:t>
            </w:r>
          </w:p>
        </w:tc>
        <w:tc>
          <w:tcPr>
            <w:tcW w:type="dxa" w:w="3300"/>
            <w:shd w:fill="F2F4F7" w:val="clear"/>
            <w:tcMar>
              <w:top w:type="dxa" w:w="100"/>
              <w:left w:type="dxa" w:w="120"/>
              <w:bottom w:type="dxa" w:w="100"/>
              <w:right w:type="dxa" w:w="120"/>
            </w:tcMar>
          </w:tcPr>
          <w:p>
            <w:r>
              <w:rPr>
                <w:b w:val="false"/>
                <w:bCs w:val="false"/>
                <w:sz w:val="18"/>
                <w:szCs w:val="18"/>
              </w:rPr>
              <w:t xml:space="preserve">IdP-driven, attribute-based access policies evaluated per request; device posture signals feed the decision before the PA authorizes the session.</w:t>
            </w:r>
          </w:p>
        </w:tc>
        <w:tc>
          <w:tcPr>
            <w:tcW w:type="dxa" w:w="3900"/>
            <w:shd w:fill="F2F4F7" w:val="clear"/>
            <w:tcMar>
              <w:top w:type="dxa" w:w="100"/>
              <w:left w:type="dxa" w:w="120"/>
              <w:bottom w:type="dxa" w:w="100"/>
              <w:right w:type="dxa" w:w="120"/>
            </w:tcMar>
          </w:tcPr>
          <w:p>
            <w:r>
              <w:rPr>
                <w:b w:val="false"/>
                <w:bCs w:val="false"/>
                <w:sz w:val="18"/>
                <w:szCs w:val="18"/>
              </w:rPr>
              <w:t xml:space="preserve">SOW §3.3.B – Zero Trust / Cloudflare Access architecture: IdP SAML/OIDC integration, device posture, application policies; Appendix A §4 – Zero Trust Architecture Document</w:t>
            </w:r>
          </w:p>
        </w:tc>
      </w:tr>
      <w:tr>
        <w:tc>
          <w:tcPr>
            <w:tcW w:type="dxa" w:w="2400"/>
            <w:shd w:fill="FFFFFF" w:val="clear"/>
            <w:tcMar>
              <w:top w:type="dxa" w:w="100"/>
              <w:left w:type="dxa" w:w="120"/>
              <w:bottom w:type="dxa" w:w="100"/>
              <w:right w:type="dxa" w:w="120"/>
            </w:tcMar>
          </w:tcPr>
          <w:p>
            <w:r>
              <w:rPr>
                <w:b/>
                <w:bCs/>
                <w:sz w:val="18"/>
                <w:szCs w:val="18"/>
              </w:rPr>
              <w:t xml:space="preserve">Tenet: Access granted per-session, not per-network-location</w:t>
            </w:r>
          </w:p>
        </w:tc>
        <w:tc>
          <w:tcPr>
            <w:tcW w:type="dxa" w:w="3300"/>
            <w:shd w:fill="FFFFFF" w:val="clear"/>
            <w:tcMar>
              <w:top w:type="dxa" w:w="100"/>
              <w:left w:type="dxa" w:w="120"/>
              <w:bottom w:type="dxa" w:w="100"/>
              <w:right w:type="dxa" w:w="120"/>
            </w:tcMar>
          </w:tcPr>
          <w:p>
            <w:r>
              <w:rPr>
                <w:b w:val="false"/>
                <w:bCs w:val="false"/>
                <w:sz w:val="18"/>
                <w:szCs w:val="18"/>
              </w:rPr>
              <w:t xml:space="preserve">Cloudflare Access issues short-lived, application-scoped authorization on each session rather than trusting a network perimeter (replaces Akamai EAA's network-centric model).</w:t>
            </w:r>
          </w:p>
        </w:tc>
        <w:tc>
          <w:tcPr>
            <w:tcW w:type="dxa" w:w="3900"/>
            <w:shd w:fill="FFFFFF" w:val="clear"/>
            <w:tcMar>
              <w:top w:type="dxa" w:w="100"/>
              <w:left w:type="dxa" w:w="120"/>
              <w:bottom w:type="dxa" w:w="100"/>
              <w:right w:type="dxa" w:w="120"/>
            </w:tcMar>
          </w:tcPr>
          <w:p>
            <w:r>
              <w:rPr>
                <w:b w:val="false"/>
                <w:bCs w:val="false"/>
                <w:sz w:val="18"/>
                <w:szCs w:val="18"/>
              </w:rPr>
              <w:t xml:space="preserve">SOW §5.7 – "All protected applications accessible post-migration via Cloudflare Access"</w:t>
            </w:r>
          </w:p>
        </w:tc>
      </w:tr>
      <w:tr>
        <w:tc>
          <w:tcPr>
            <w:tcW w:type="dxa" w:w="2400"/>
            <w:shd w:fill="F2F4F7" w:val="clear"/>
            <w:tcMar>
              <w:top w:type="dxa" w:w="100"/>
              <w:left w:type="dxa" w:w="120"/>
              <w:bottom w:type="dxa" w:w="100"/>
              <w:right w:type="dxa" w:w="120"/>
            </w:tcMar>
          </w:tcPr>
          <w:p>
            <w:r>
              <w:rPr>
                <w:b/>
                <w:bCs/>
                <w:sz w:val="18"/>
                <w:szCs w:val="18"/>
              </w:rPr>
              <w:t xml:space="preserve">Tenet: Dynamic policy driven by client identity, state, and behavioral attributes</w:t>
            </w:r>
          </w:p>
        </w:tc>
        <w:tc>
          <w:tcPr>
            <w:tcW w:type="dxa" w:w="3300"/>
            <w:shd w:fill="F2F4F7" w:val="clear"/>
            <w:tcMar>
              <w:top w:type="dxa" w:w="100"/>
              <w:left w:type="dxa" w:w="120"/>
              <w:bottom w:type="dxa" w:w="100"/>
              <w:right w:type="dxa" w:w="120"/>
            </w:tcMar>
          </w:tcPr>
          <w:p>
            <w:r>
              <w:rPr>
                <w:b w:val="false"/>
                <w:bCs w:val="false"/>
                <w:sz w:val="18"/>
                <w:szCs w:val="18"/>
              </w:rPr>
              <w:t xml:space="preserve">Device posture checks (OS, certificate, patch state) combined with IdP-asserted identity attributes drive real-time allow/deny decisions.</w:t>
            </w:r>
          </w:p>
        </w:tc>
        <w:tc>
          <w:tcPr>
            <w:tcW w:type="dxa" w:w="3900"/>
            <w:shd w:fill="F2F4F7" w:val="clear"/>
            <w:tcMar>
              <w:top w:type="dxa" w:w="100"/>
              <w:left w:type="dxa" w:w="120"/>
              <w:bottom w:type="dxa" w:w="100"/>
              <w:right w:type="dxa" w:w="120"/>
            </w:tcMar>
          </w:tcPr>
          <w:p>
            <w:r>
              <w:rPr>
                <w:b w:val="false"/>
                <w:bCs w:val="false"/>
                <w:sz w:val="18"/>
                <w:szCs w:val="18"/>
              </w:rPr>
              <w:t xml:space="preserve">SOW §5.7 – "Device posture policies enforced as designed"</w:t>
            </w:r>
          </w:p>
        </w:tc>
      </w:tr>
      <w:tr>
        <w:tc>
          <w:tcPr>
            <w:tcW w:type="dxa" w:w="2400"/>
            <w:shd w:fill="FFFFFF" w:val="clear"/>
            <w:tcMar>
              <w:top w:type="dxa" w:w="100"/>
              <w:left w:type="dxa" w:w="120"/>
              <w:bottom w:type="dxa" w:w="100"/>
              <w:right w:type="dxa" w:w="120"/>
            </w:tcMar>
          </w:tcPr>
          <w:p>
            <w:r>
              <w:rPr>
                <w:b/>
                <w:bCs/>
                <w:sz w:val="18"/>
                <w:szCs w:val="18"/>
              </w:rPr>
              <w:t xml:space="preserve">Tenet: Continuous monitoring of asset and session integrity</w:t>
            </w:r>
          </w:p>
        </w:tc>
        <w:tc>
          <w:tcPr>
            <w:tcW w:type="dxa" w:w="3300"/>
            <w:shd w:fill="FFFFFF" w:val="clear"/>
            <w:tcMar>
              <w:top w:type="dxa" w:w="100"/>
              <w:left w:type="dxa" w:w="120"/>
              <w:bottom w:type="dxa" w:w="100"/>
              <w:right w:type="dxa" w:w="120"/>
            </w:tcMar>
          </w:tcPr>
          <w:p>
            <w:r>
              <w:rPr>
                <w:b w:val="false"/>
                <w:bCs w:val="false"/>
                <w:sz w:val="18"/>
                <w:szCs w:val="18"/>
              </w:rPr>
              <w:t xml:space="preserve">Zero Trust session activity and access logs are shipped via Logpush for ongoing posture and integrity monitoring.</w:t>
            </w:r>
          </w:p>
        </w:tc>
        <w:tc>
          <w:tcPr>
            <w:tcW w:type="dxa" w:w="3900"/>
            <w:shd w:fill="FFFFFF" w:val="clear"/>
            <w:tcMar>
              <w:top w:type="dxa" w:w="100"/>
              <w:left w:type="dxa" w:w="120"/>
              <w:bottom w:type="dxa" w:w="100"/>
              <w:right w:type="dxa" w:w="120"/>
            </w:tcMar>
          </w:tcPr>
          <w:p>
            <w:r>
              <w:rPr>
                <w:b w:val="false"/>
                <w:bCs w:val="false"/>
                <w:sz w:val="18"/>
                <w:szCs w:val="18"/>
              </w:rPr>
              <w:t xml:space="preserve">SOW §3.3.C / §3.3.F – Logpush configuration to customer SIEM; Zero Trust / IdP Access operational runbook</w:t>
            </w:r>
          </w:p>
        </w:tc>
      </w:tr>
      <w:tr>
        <w:tc>
          <w:tcPr>
            <w:tcW w:type="dxa" w:w="2400"/>
            <w:shd w:fill="F2F4F7" w:val="clear"/>
            <w:tcMar>
              <w:top w:type="dxa" w:w="100"/>
              <w:left w:type="dxa" w:w="120"/>
              <w:bottom w:type="dxa" w:w="100"/>
              <w:right w:type="dxa" w:w="120"/>
            </w:tcMar>
          </w:tcPr>
          <w:p>
            <w:r>
              <w:rPr>
                <w:b/>
                <w:bCs/>
                <w:sz w:val="18"/>
                <w:szCs w:val="18"/>
              </w:rPr>
              <w:t xml:space="preserve">Tenet: Strict, dynamic authentication and authorization before any access is allowed</w:t>
            </w:r>
          </w:p>
        </w:tc>
        <w:tc>
          <w:tcPr>
            <w:tcW w:type="dxa" w:w="3300"/>
            <w:shd w:fill="F2F4F7" w:val="clear"/>
            <w:tcMar>
              <w:top w:type="dxa" w:w="100"/>
              <w:left w:type="dxa" w:w="120"/>
              <w:bottom w:type="dxa" w:w="100"/>
              <w:right w:type="dxa" w:w="120"/>
            </w:tcMar>
          </w:tcPr>
          <w:p>
            <w:r>
              <w:rPr>
                <w:b w:val="false"/>
                <w:bCs w:val="false"/>
                <w:sz w:val="18"/>
                <w:szCs w:val="18"/>
              </w:rPr>
              <w:t xml:space="preserve">Full SAML/OIDC authentication flow validated end-to-end in UAT before a Migration Acceptance sign-off is issued.</w:t>
            </w:r>
          </w:p>
        </w:tc>
        <w:tc>
          <w:tcPr>
            <w:tcW w:type="dxa" w:w="3900"/>
            <w:shd w:fill="F2F4F7" w:val="clear"/>
            <w:tcMar>
              <w:top w:type="dxa" w:w="100"/>
              <w:left w:type="dxa" w:w="120"/>
              <w:bottom w:type="dxa" w:w="100"/>
              <w:right w:type="dxa" w:w="120"/>
            </w:tcMar>
          </w:tcPr>
          <w:p>
            <w:r>
              <w:rPr>
                <w:b w:val="false"/>
                <w:bCs w:val="false"/>
                <w:sz w:val="18"/>
                <w:szCs w:val="18"/>
              </w:rPr>
              <w:t xml:space="preserve">SOW §11 – "For Zero Trust: IdP authentication and access policy enforcement validated end-to-end"</w:t>
            </w:r>
          </w:p>
        </w:tc>
      </w:tr>
    </w:tbl>
    <w:p>
      <w:pPr>
        <w:pStyle w:val="Heading2"/>
        <w:spacing w:after="100" w:before="220"/>
      </w:pPr>
      <w:r>
        <w:rPr>
          <w:b/>
          <w:bCs/>
          <w:color w:val="1A2B4C"/>
          <w:sz w:val="22"/>
          <w:szCs w:val="22"/>
        </w:rPr>
        <w:t xml:space="preserve">Implementation Approach</w:t>
      </w:r>
    </w:p>
    <w:p>
      <w:pPr>
        <w:spacing w:after="120"/>
      </w:pPr>
      <w:r>
        <w:rPr>
          <w:sz w:val="20"/>
          <w:szCs w:val="20"/>
        </w:rPr>
        <w:t xml:space="preserve">NIST SP 800-207 describes three general approaches to implementing zero trust: enhanced identity governance, micro-segmentation, and software-defined perimeters. This engagement's design follows primarily an enhanced identity governance approach — access policy is driven chiefly by the identity of the requesting subject (via IdP SAML/OIDC assertions) and the observed state of the requesting device, consistent with how Cloudflare Access brokers every application request.</w:t>
      </w:r>
    </w:p>
    <w:p>
      <w:pPr>
        <w:spacing w:after="60"/>
      </w:pPr>
      <w:r>
        <w:rPr>
          <w:sz w:val="20"/>
          <w:szCs w:val="20"/>
        </w:rPr>
        <w:t xml:space="preserve">This alignment supports the following outcomes referenced elsewhere in the SOW:</w:t>
      </w:r>
    </w:p>
    <w:p>
      <w:pPr>
        <w:pStyle w:val="ListParagraph"/>
        <w:numPr>
          <w:ilvl w:val="0"/>
          <w:numId w:val="2"/>
        </w:numPr>
        <w:spacing w:after="40"/>
      </w:pPr>
      <w:r>
        <w:rPr>
          <w:sz w:val="20"/>
          <w:szCs w:val="20"/>
        </w:rPr>
        <w:t xml:space="preserve">A documented, standards-based rationale for replacing Akamai EAA's perimeter-oriented access model with per-session, identity-driven enforcement.</w:t>
      </w:r>
    </w:p>
    <w:p>
      <w:pPr>
        <w:pStyle w:val="ListParagraph"/>
        <w:numPr>
          <w:ilvl w:val="0"/>
          <w:numId w:val="2"/>
        </w:numPr>
        <w:spacing w:after="40"/>
      </w:pPr>
      <w:r>
        <w:rPr>
          <w:sz w:val="20"/>
          <w:szCs w:val="20"/>
        </w:rPr>
        <w:t xml:space="preserve">A reference framework Trantor and Cloudflare can jointly cite in customer RFP, audit, or compliance responses that require zero trust maturity evidence.</w:t>
      </w:r>
    </w:p>
    <w:p>
      <w:pPr>
        <w:pStyle w:val="ListParagraph"/>
        <w:numPr>
          <w:ilvl w:val="0"/>
          <w:numId w:val="2"/>
        </w:numPr>
        <w:spacing w:after="40"/>
      </w:pPr>
      <w:r>
        <w:rPr>
          <w:sz w:val="20"/>
          <w:szCs w:val="20"/>
        </w:rPr>
        <w:t xml:space="preserve">Traceability between individual SOW/Playbook deliverables and the specific NIST tenet or component each one satisfies, for use in the Zero Trust Architecture Document (Appendix A, Phase 2 deliverable).</w:t>
      </w:r>
    </w:p>
    <w:p>
      <w:pPr>
        <w:pBdr>
          <w:top w:val="single" w:color="CBD2D9" w:sz="4" w:space="4"/>
        </w:pBdr>
        <w:spacing w:before="200"/>
      </w:pPr>
      <w:r>
        <w:rPr>
          <w:i/>
          <w:iCs/>
          <w:color w:val="667085"/>
          <w:sz w:val="16"/>
          <w:szCs w:val="16"/>
        </w:rPr>
        <w:t xml:space="preserve">Source: NIST Special Publication 800-207, "Zero Trust Architecture," National Institute of Standards and Technology, August 2020.</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04"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2026-08-03T06:20:13.115Z</dcterms:created>
  <dcterms:modified xsi:type="dcterms:W3CDTF">2026-08-03T06:20:13.127Z</dcterms:modified>
</cp:coreProperties>
</file>

<file path=docProps/custom.xml><?xml version="1.0" encoding="utf-8"?>
<Properties xmlns="http://schemas.openxmlformats.org/officeDocument/2006/custom-properties" xmlns:vt="http://schemas.openxmlformats.org/officeDocument/2006/docPropsVTypes"/>
</file>